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63C" w:rsidRPr="0022563C" w:rsidRDefault="0022563C" w:rsidP="0022563C">
      <w:pPr>
        <w:spacing w:line="480" w:lineRule="auto"/>
        <w:rPr>
          <w:rFonts w:ascii="Times New Roman" w:hAnsi="Times New Roman" w:cs="Times New Roman"/>
          <w:sz w:val="24"/>
          <w:szCs w:val="24"/>
        </w:rPr>
      </w:pPr>
    </w:p>
    <w:p w:rsidR="0022563C" w:rsidRPr="0022563C" w:rsidRDefault="0022563C" w:rsidP="0022563C">
      <w:pPr>
        <w:spacing w:line="480" w:lineRule="auto"/>
        <w:rPr>
          <w:rFonts w:ascii="Times New Roman" w:hAnsi="Times New Roman" w:cs="Times New Roman"/>
          <w:sz w:val="24"/>
          <w:szCs w:val="24"/>
        </w:rPr>
      </w:pPr>
    </w:p>
    <w:p w:rsidR="0022563C" w:rsidRPr="0022563C" w:rsidRDefault="0022563C" w:rsidP="0022563C">
      <w:pPr>
        <w:spacing w:line="480" w:lineRule="auto"/>
        <w:rPr>
          <w:rFonts w:ascii="Times New Roman" w:hAnsi="Times New Roman" w:cs="Times New Roman"/>
          <w:sz w:val="24"/>
          <w:szCs w:val="24"/>
        </w:rPr>
      </w:pPr>
    </w:p>
    <w:p w:rsidR="0022563C" w:rsidRPr="0022563C" w:rsidRDefault="0022563C" w:rsidP="0022563C">
      <w:pPr>
        <w:spacing w:line="480" w:lineRule="auto"/>
        <w:rPr>
          <w:rFonts w:ascii="Times New Roman" w:hAnsi="Times New Roman" w:cs="Times New Roman"/>
          <w:sz w:val="24"/>
          <w:szCs w:val="24"/>
        </w:rPr>
      </w:pPr>
    </w:p>
    <w:p w:rsidR="0022563C" w:rsidRPr="0022563C" w:rsidRDefault="0022563C" w:rsidP="0022563C">
      <w:pPr>
        <w:spacing w:line="480" w:lineRule="auto"/>
        <w:rPr>
          <w:rFonts w:ascii="Times New Roman" w:hAnsi="Times New Roman" w:cs="Times New Roman"/>
          <w:sz w:val="24"/>
          <w:szCs w:val="24"/>
        </w:rPr>
      </w:pPr>
    </w:p>
    <w:p w:rsidR="0022563C" w:rsidRPr="0022563C" w:rsidRDefault="0022563C" w:rsidP="0022563C">
      <w:pPr>
        <w:spacing w:line="480" w:lineRule="auto"/>
        <w:rPr>
          <w:rFonts w:ascii="Times New Roman" w:hAnsi="Times New Roman" w:cs="Times New Roman"/>
          <w:sz w:val="24"/>
          <w:szCs w:val="24"/>
        </w:rPr>
      </w:pPr>
    </w:p>
    <w:p w:rsidR="0022563C" w:rsidRPr="0022563C" w:rsidRDefault="0022563C" w:rsidP="0022563C">
      <w:pPr>
        <w:spacing w:line="480" w:lineRule="auto"/>
        <w:jc w:val="center"/>
        <w:rPr>
          <w:rFonts w:ascii="Times New Roman" w:hAnsi="Times New Roman" w:cs="Times New Roman"/>
          <w:sz w:val="24"/>
          <w:szCs w:val="24"/>
        </w:rPr>
      </w:pPr>
      <w:r w:rsidRPr="0022563C">
        <w:rPr>
          <w:rFonts w:ascii="Times New Roman" w:hAnsi="Times New Roman" w:cs="Times New Roman"/>
          <w:sz w:val="24"/>
          <w:szCs w:val="24"/>
        </w:rPr>
        <w:t xml:space="preserve">Elements of a Contingency Plan </w:t>
      </w:r>
    </w:p>
    <w:p w:rsidR="0022563C" w:rsidRPr="0022563C" w:rsidRDefault="0022563C" w:rsidP="0022563C">
      <w:pPr>
        <w:spacing w:line="480" w:lineRule="auto"/>
        <w:jc w:val="center"/>
        <w:rPr>
          <w:rFonts w:ascii="Times New Roman" w:hAnsi="Times New Roman" w:cs="Times New Roman"/>
          <w:sz w:val="24"/>
          <w:szCs w:val="24"/>
        </w:rPr>
      </w:pPr>
      <w:r w:rsidRPr="0022563C">
        <w:rPr>
          <w:rFonts w:ascii="Times New Roman" w:hAnsi="Times New Roman" w:cs="Times New Roman"/>
          <w:sz w:val="24"/>
          <w:szCs w:val="24"/>
        </w:rPr>
        <w:t>Name of Student</w:t>
      </w:r>
    </w:p>
    <w:p w:rsidR="0022563C" w:rsidRPr="0022563C" w:rsidRDefault="0022563C" w:rsidP="0022563C">
      <w:pPr>
        <w:spacing w:line="480" w:lineRule="auto"/>
        <w:jc w:val="center"/>
        <w:rPr>
          <w:rFonts w:ascii="Times New Roman" w:hAnsi="Times New Roman" w:cs="Times New Roman"/>
          <w:sz w:val="24"/>
          <w:szCs w:val="24"/>
        </w:rPr>
      </w:pPr>
      <w:r w:rsidRPr="0022563C">
        <w:rPr>
          <w:rFonts w:ascii="Times New Roman" w:hAnsi="Times New Roman" w:cs="Times New Roman"/>
          <w:sz w:val="24"/>
          <w:szCs w:val="24"/>
        </w:rPr>
        <w:t>Name of Institution</w:t>
      </w:r>
    </w:p>
    <w:p w:rsidR="0022563C" w:rsidRPr="0022563C" w:rsidRDefault="0022563C" w:rsidP="0022563C">
      <w:pPr>
        <w:spacing w:line="480" w:lineRule="auto"/>
        <w:jc w:val="center"/>
        <w:rPr>
          <w:rFonts w:ascii="Times New Roman" w:hAnsi="Times New Roman" w:cs="Times New Roman"/>
          <w:sz w:val="24"/>
          <w:szCs w:val="24"/>
        </w:rPr>
      </w:pPr>
      <w:r w:rsidRPr="0022563C">
        <w:rPr>
          <w:rFonts w:ascii="Times New Roman" w:hAnsi="Times New Roman" w:cs="Times New Roman"/>
          <w:sz w:val="24"/>
          <w:szCs w:val="24"/>
        </w:rPr>
        <w:t>Date</w:t>
      </w:r>
      <w:r w:rsidRPr="0022563C">
        <w:rPr>
          <w:rFonts w:ascii="Times New Roman" w:hAnsi="Times New Roman" w:cs="Times New Roman"/>
          <w:sz w:val="24"/>
          <w:szCs w:val="24"/>
        </w:rPr>
        <w:br w:type="page"/>
      </w:r>
    </w:p>
    <w:p w:rsidR="003C7405" w:rsidRDefault="003C7405" w:rsidP="003C740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Elements of Contingency Plan</w:t>
      </w:r>
    </w:p>
    <w:p w:rsidR="00134DA1" w:rsidRPr="0022563C" w:rsidRDefault="00DA5EE3" w:rsidP="003C7405">
      <w:pPr>
        <w:spacing w:after="0" w:line="480" w:lineRule="auto"/>
        <w:ind w:firstLine="720"/>
        <w:rPr>
          <w:rFonts w:ascii="Times New Roman" w:hAnsi="Times New Roman" w:cs="Times New Roman"/>
          <w:sz w:val="24"/>
          <w:szCs w:val="24"/>
        </w:rPr>
      </w:pPr>
      <w:r w:rsidRPr="0022563C">
        <w:rPr>
          <w:rFonts w:ascii="Times New Roman" w:hAnsi="Times New Roman" w:cs="Times New Roman"/>
          <w:sz w:val="24"/>
          <w:szCs w:val="24"/>
        </w:rPr>
        <w:t xml:space="preserve">The purpose behind a contingency plan is to allow for taking account and action in future scenarios or circumstances. In cases of emergency, it is essential for the actions to be taken to address the management, control and mitigation of the immediate effects of the event or circumstance in question. Construction of an emergency planning program makes available the channels necessary to advocate for other resultant plans such as disaster recovery and business continuity plans. The level of complexity of the emergency plan is subject to the incident and the organization in question and the requirements necessitated are described by the same factors. </w:t>
      </w:r>
      <w:r w:rsidR="0022466D" w:rsidRPr="0022563C">
        <w:rPr>
          <w:rFonts w:ascii="Times New Roman" w:hAnsi="Times New Roman" w:cs="Times New Roman"/>
          <w:sz w:val="24"/>
          <w:szCs w:val="24"/>
        </w:rPr>
        <w:t xml:space="preserve">The elements included in the emergency may be framed and posed in a manner such that they assure continuity and provision of mass care. The continuity that is of significant impact in this assessment is continuity of operations and government. </w:t>
      </w:r>
      <w:r w:rsidR="000C6BC4" w:rsidRPr="0022563C">
        <w:rPr>
          <w:rFonts w:ascii="Times New Roman" w:hAnsi="Times New Roman" w:cs="Times New Roman"/>
          <w:sz w:val="24"/>
          <w:szCs w:val="24"/>
        </w:rPr>
        <w:t xml:space="preserve">The three elements of contingency plan of interest are implementation plan, operational support, and </w:t>
      </w:r>
      <w:r w:rsidR="00AC251F" w:rsidRPr="0022563C">
        <w:rPr>
          <w:rFonts w:ascii="Times New Roman" w:hAnsi="Times New Roman" w:cs="Times New Roman"/>
          <w:sz w:val="24"/>
          <w:szCs w:val="24"/>
        </w:rPr>
        <w:t xml:space="preserve">level of preparedness. </w:t>
      </w:r>
    </w:p>
    <w:p w:rsidR="00134DA1" w:rsidRPr="0022563C" w:rsidRDefault="00134DA1" w:rsidP="0022563C">
      <w:pPr>
        <w:spacing w:line="480" w:lineRule="auto"/>
        <w:ind w:firstLine="720"/>
        <w:rPr>
          <w:rFonts w:ascii="Times New Roman" w:hAnsi="Times New Roman" w:cs="Times New Roman"/>
          <w:sz w:val="24"/>
          <w:szCs w:val="24"/>
        </w:rPr>
      </w:pPr>
      <w:r w:rsidRPr="0022563C">
        <w:rPr>
          <w:rFonts w:ascii="Times New Roman" w:hAnsi="Times New Roman" w:cs="Times New Roman"/>
          <w:sz w:val="24"/>
          <w:szCs w:val="24"/>
        </w:rPr>
        <w:t xml:space="preserve">An implementation plan details out the specification of realizing the response strategy that has been developed for the specific incident. The procedures o implementation detailed in this plan are aligned with the response strategy. The implementation plan is significant in a contingency plan in scenarios where there is an identified potential crisis, or high probability of occurrence of an incident. The definition of the response strategy is inclusive of the structure and the programmatic and logistical execution. The operational support element describes the necessities and requirements for aid such as administrative and logical functions. The primary initiative of this element is the identification and inclusion of needs in response situations. </w:t>
      </w:r>
      <w:r w:rsidR="002125D1" w:rsidRPr="0022563C">
        <w:rPr>
          <w:rFonts w:ascii="Times New Roman" w:hAnsi="Times New Roman" w:cs="Times New Roman"/>
          <w:sz w:val="24"/>
          <w:szCs w:val="24"/>
        </w:rPr>
        <w:t xml:space="preserve">The processes and procedures involved can be customized through refining the standards that have already been developed. Operational support is crucial for the contingency strategy in probable incidents. The level of preparedness in highlighted in a plan which details necessary actions to improve the response and planning of the crisis. The focus of this element is the actions that have fundamental impact on the actual responses through the efforts detailed in the emergency plan. Level of preparation is not dependent on the imminence of a crisis but rather is the focus of contingency planning prior to </w:t>
      </w:r>
      <w:r w:rsidR="003C7405">
        <w:rPr>
          <w:rFonts w:ascii="Times New Roman" w:hAnsi="Times New Roman" w:cs="Times New Roman"/>
          <w:sz w:val="24"/>
          <w:szCs w:val="24"/>
        </w:rPr>
        <w:t xml:space="preserve">the </w:t>
      </w:r>
      <w:r w:rsidR="002125D1" w:rsidRPr="0022563C">
        <w:rPr>
          <w:rFonts w:ascii="Times New Roman" w:hAnsi="Times New Roman" w:cs="Times New Roman"/>
          <w:sz w:val="24"/>
          <w:szCs w:val="24"/>
        </w:rPr>
        <w:t xml:space="preserve">expected or unexpected incidents. </w:t>
      </w:r>
    </w:p>
    <w:p w:rsidR="0038605A" w:rsidRPr="0022563C" w:rsidRDefault="002125D1" w:rsidP="0022563C">
      <w:pPr>
        <w:spacing w:line="480" w:lineRule="auto"/>
        <w:ind w:firstLine="720"/>
        <w:rPr>
          <w:rFonts w:ascii="Times New Roman" w:hAnsi="Times New Roman" w:cs="Times New Roman"/>
          <w:sz w:val="24"/>
          <w:szCs w:val="24"/>
        </w:rPr>
      </w:pPr>
      <w:r w:rsidRPr="0022563C">
        <w:rPr>
          <w:rFonts w:ascii="Times New Roman" w:hAnsi="Times New Roman" w:cs="Times New Roman"/>
          <w:sz w:val="24"/>
          <w:szCs w:val="24"/>
        </w:rPr>
        <w:t xml:space="preserve">Take the incidence of a terrorist attack involving </w:t>
      </w:r>
      <w:r w:rsidR="00416BB8" w:rsidRPr="0022563C">
        <w:rPr>
          <w:rFonts w:ascii="Times New Roman" w:hAnsi="Times New Roman" w:cs="Times New Roman"/>
          <w:sz w:val="24"/>
          <w:szCs w:val="24"/>
        </w:rPr>
        <w:t xml:space="preserve">an active shooter. The contingency plan will assure continuity by active response and resolution of the incident through involvement of the authorities. Provision of mass care will require the availability, and agreement of source of aid, and also documentation of the same. </w:t>
      </w:r>
      <w:r w:rsidR="0038605A" w:rsidRPr="0022563C">
        <w:rPr>
          <w:rFonts w:ascii="Times New Roman" w:hAnsi="Times New Roman" w:cs="Times New Roman"/>
          <w:sz w:val="24"/>
          <w:szCs w:val="24"/>
        </w:rPr>
        <w:t xml:space="preserve">The implementation plan will provide the procedures for evacuation of the building by utilizing the floor plans and detail the escape routes. The implementation plan will also detail possible areas regarded as safe zones that get the people away for the terror prone zones, and also gives information to authorities of where to start search. The contingency plan will also indicate the emergency numbers to dial in such situation to alert authorities and probably codes that can be sent to emergency numbers rather than calling. </w:t>
      </w:r>
    </w:p>
    <w:p w:rsidR="0022563C" w:rsidRPr="0022563C" w:rsidRDefault="0038605A" w:rsidP="0022563C">
      <w:pPr>
        <w:spacing w:line="480" w:lineRule="auto"/>
        <w:ind w:firstLine="720"/>
        <w:rPr>
          <w:rFonts w:ascii="Times New Roman" w:hAnsi="Times New Roman" w:cs="Times New Roman"/>
          <w:noProof/>
          <w:sz w:val="24"/>
          <w:szCs w:val="24"/>
        </w:rPr>
      </w:pPr>
      <w:r w:rsidRPr="0022563C">
        <w:rPr>
          <w:rFonts w:ascii="Times New Roman" w:hAnsi="Times New Roman" w:cs="Times New Roman"/>
          <w:sz w:val="24"/>
          <w:szCs w:val="24"/>
        </w:rPr>
        <w:t xml:space="preserve">Operational support will detail the authority bodies in close proximity to offer aid. It will also include in the floor plans points of access for the authorities to breach and also points where medical aid gear is available. Operational support will also detail the function of the emergency response team, and proper conduct of the same. To ensure continuity, the element will detail emergency channels where the normal processes and functions of the organization in question can continue with minimal interference. The preparedness plan will dictate policies </w:t>
      </w:r>
      <w:r w:rsidR="0022563C" w:rsidRPr="0022563C">
        <w:rPr>
          <w:rFonts w:ascii="Times New Roman" w:hAnsi="Times New Roman" w:cs="Times New Roman"/>
          <w:sz w:val="24"/>
          <w:szCs w:val="24"/>
        </w:rPr>
        <w:t xml:space="preserve">and procedures that will facilitate faster, active and more informed responsive approach. This element facilitates continuity by providing response plans that allow for the fastest response. It also details procedures for damage of utilities necessary for functionality and how to resolve.  Level of preparedness also provides an alarm system that calls for aid instantly and provides channels for the aid to be realized effectively. </w:t>
      </w:r>
    </w:p>
    <w:p w:rsidR="0022563C" w:rsidRPr="0022563C" w:rsidRDefault="0022563C" w:rsidP="0022563C">
      <w:pPr>
        <w:spacing w:line="480" w:lineRule="auto"/>
        <w:rPr>
          <w:rFonts w:ascii="Times New Roman" w:hAnsi="Times New Roman" w:cs="Times New Roman"/>
          <w:noProof/>
          <w:sz w:val="24"/>
          <w:szCs w:val="24"/>
        </w:rPr>
      </w:pPr>
      <w:r w:rsidRPr="0022563C">
        <w:rPr>
          <w:rFonts w:ascii="Times New Roman" w:hAnsi="Times New Roman" w:cs="Times New Roman"/>
          <w:noProof/>
          <w:sz w:val="24"/>
          <w:szCs w:val="24"/>
        </w:rPr>
        <w:br w:type="page"/>
      </w:r>
    </w:p>
    <w:sdt>
      <w:sdtPr>
        <w:rPr>
          <w:rFonts w:ascii="Times New Roman" w:eastAsiaTheme="minorEastAsia" w:hAnsi="Times New Roman" w:cs="Times New Roman"/>
          <w:b w:val="0"/>
          <w:bCs w:val="0"/>
          <w:color w:val="auto"/>
          <w:sz w:val="24"/>
          <w:szCs w:val="24"/>
          <w:lang w:bidi="ar-SA"/>
        </w:rPr>
        <w:id w:val="215001346"/>
        <w:docPartObj>
          <w:docPartGallery w:val="Bibliographies"/>
          <w:docPartUnique/>
        </w:docPartObj>
      </w:sdtPr>
      <w:sdtEndPr/>
      <w:sdtContent>
        <w:p w:rsidR="0022563C" w:rsidRPr="003C7405" w:rsidRDefault="0022563C" w:rsidP="0022563C">
          <w:pPr>
            <w:pStyle w:val="Heading1"/>
            <w:spacing w:line="480" w:lineRule="auto"/>
            <w:jc w:val="center"/>
            <w:rPr>
              <w:rFonts w:ascii="Times New Roman" w:hAnsi="Times New Roman" w:cs="Times New Roman"/>
              <w:b w:val="0"/>
              <w:color w:val="auto"/>
              <w:sz w:val="24"/>
              <w:szCs w:val="24"/>
            </w:rPr>
          </w:pPr>
          <w:r w:rsidRPr="003C7405">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EndPr/>
          <w:sdtContent>
            <w:p w:rsidR="0022563C" w:rsidRPr="0022563C" w:rsidRDefault="0022563C" w:rsidP="0022563C">
              <w:pPr>
                <w:pStyle w:val="Bibliography"/>
                <w:spacing w:line="480" w:lineRule="auto"/>
                <w:ind w:left="720" w:hanging="720"/>
                <w:rPr>
                  <w:rFonts w:ascii="Times New Roman" w:hAnsi="Times New Roman" w:cs="Times New Roman"/>
                  <w:noProof/>
                  <w:sz w:val="24"/>
                  <w:szCs w:val="24"/>
                </w:rPr>
              </w:pPr>
              <w:r w:rsidRPr="0022563C">
                <w:rPr>
                  <w:rFonts w:ascii="Times New Roman" w:hAnsi="Times New Roman" w:cs="Times New Roman"/>
                  <w:sz w:val="24"/>
                  <w:szCs w:val="24"/>
                </w:rPr>
                <w:fldChar w:fldCharType="begin"/>
              </w:r>
              <w:r w:rsidRPr="0022563C">
                <w:rPr>
                  <w:rFonts w:ascii="Times New Roman" w:hAnsi="Times New Roman" w:cs="Times New Roman"/>
                  <w:sz w:val="24"/>
                  <w:szCs w:val="24"/>
                </w:rPr>
                <w:instrText xml:space="preserve"> BIBLIOGRAPHY </w:instrText>
              </w:r>
              <w:r w:rsidRPr="0022563C">
                <w:rPr>
                  <w:rFonts w:ascii="Times New Roman" w:hAnsi="Times New Roman" w:cs="Times New Roman"/>
                  <w:sz w:val="24"/>
                  <w:szCs w:val="24"/>
                </w:rPr>
                <w:fldChar w:fldCharType="separate"/>
              </w:r>
              <w:r w:rsidRPr="0022563C">
                <w:rPr>
                  <w:rFonts w:ascii="Times New Roman" w:hAnsi="Times New Roman" w:cs="Times New Roman"/>
                  <w:noProof/>
                  <w:sz w:val="24"/>
                  <w:szCs w:val="24"/>
                </w:rPr>
                <w:t xml:space="preserve">Infrastructure Security Partnership (Organization). (2006). </w:t>
              </w:r>
              <w:r w:rsidRPr="0022563C">
                <w:rPr>
                  <w:rFonts w:ascii="Times New Roman" w:hAnsi="Times New Roman" w:cs="Times New Roman"/>
                  <w:i/>
                  <w:iCs/>
                  <w:noProof/>
                  <w:sz w:val="24"/>
                  <w:szCs w:val="24"/>
                </w:rPr>
                <w:t>Regional disaster resilience: A guide for developing an action plan. .</w:t>
              </w:r>
              <w:r w:rsidRPr="0022563C">
                <w:rPr>
                  <w:rFonts w:ascii="Times New Roman" w:hAnsi="Times New Roman" w:cs="Times New Roman"/>
                  <w:noProof/>
                  <w:sz w:val="24"/>
                  <w:szCs w:val="24"/>
                </w:rPr>
                <w:t xml:space="preserve"> DIANE Publishing Inc.</w:t>
              </w:r>
            </w:p>
            <w:p w:rsidR="0022563C" w:rsidRPr="0022563C" w:rsidRDefault="0022563C" w:rsidP="0022563C">
              <w:pPr>
                <w:pStyle w:val="Bibliography"/>
                <w:spacing w:line="480" w:lineRule="auto"/>
                <w:ind w:left="720" w:hanging="720"/>
                <w:rPr>
                  <w:rFonts w:ascii="Times New Roman" w:hAnsi="Times New Roman" w:cs="Times New Roman"/>
                  <w:noProof/>
                  <w:sz w:val="24"/>
                  <w:szCs w:val="24"/>
                </w:rPr>
              </w:pPr>
              <w:r w:rsidRPr="0022563C">
                <w:rPr>
                  <w:rFonts w:ascii="Times New Roman" w:hAnsi="Times New Roman" w:cs="Times New Roman"/>
                  <w:noProof/>
                  <w:sz w:val="24"/>
                  <w:szCs w:val="24"/>
                </w:rPr>
                <w:t xml:space="preserve">National Fire Protection Association. (2010). NFPA 1600: Standard on disaster/emergency management and business continuity programs. </w:t>
              </w:r>
              <w:r w:rsidRPr="0022563C">
                <w:rPr>
                  <w:rFonts w:ascii="Times New Roman" w:hAnsi="Times New Roman" w:cs="Times New Roman"/>
                  <w:i/>
                  <w:iCs/>
                  <w:noProof/>
                  <w:sz w:val="24"/>
                  <w:szCs w:val="24"/>
                </w:rPr>
                <w:t>NFPA 1600: Standard on Disaster/Emergency Management and Business Continuity Programs.</w:t>
              </w:r>
              <w:r w:rsidRPr="0022563C">
                <w:rPr>
                  <w:rFonts w:ascii="Times New Roman" w:hAnsi="Times New Roman" w:cs="Times New Roman"/>
                  <w:noProof/>
                  <w:sz w:val="24"/>
                  <w:szCs w:val="24"/>
                </w:rPr>
                <w:t xml:space="preserve"> </w:t>
              </w:r>
            </w:p>
            <w:p w:rsidR="0022563C" w:rsidRPr="0022563C" w:rsidRDefault="0022563C" w:rsidP="0022563C">
              <w:pPr>
                <w:spacing w:line="480" w:lineRule="auto"/>
                <w:ind w:left="720" w:hanging="720"/>
                <w:rPr>
                  <w:rFonts w:ascii="Times New Roman" w:hAnsi="Times New Roman" w:cs="Times New Roman"/>
                  <w:sz w:val="24"/>
                  <w:szCs w:val="24"/>
                </w:rPr>
              </w:pPr>
              <w:r w:rsidRPr="0022563C">
                <w:rPr>
                  <w:rFonts w:ascii="Times New Roman" w:hAnsi="Times New Roman" w:cs="Times New Roman"/>
                  <w:sz w:val="24"/>
                  <w:szCs w:val="24"/>
                </w:rPr>
                <w:fldChar w:fldCharType="end"/>
              </w:r>
            </w:p>
          </w:sdtContent>
        </w:sdt>
      </w:sdtContent>
    </w:sdt>
    <w:p w:rsidR="0038605A" w:rsidRPr="0022563C" w:rsidRDefault="0038605A" w:rsidP="0022563C">
      <w:pPr>
        <w:spacing w:line="480" w:lineRule="auto"/>
        <w:ind w:firstLine="720"/>
        <w:rPr>
          <w:rFonts w:ascii="Times New Roman" w:hAnsi="Times New Roman" w:cs="Times New Roman"/>
          <w:sz w:val="24"/>
          <w:szCs w:val="24"/>
        </w:rPr>
      </w:pPr>
      <w:bookmarkStart w:id="0" w:name="_GoBack"/>
      <w:bookmarkEnd w:id="0"/>
    </w:p>
    <w:sectPr w:rsidR="0038605A" w:rsidRPr="0022563C" w:rsidSect="002256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100A" w:rsidRDefault="009F100A" w:rsidP="0022563C">
      <w:pPr>
        <w:spacing w:after="0" w:line="240" w:lineRule="auto"/>
      </w:pPr>
      <w:r>
        <w:separator/>
      </w:r>
    </w:p>
  </w:endnote>
  <w:endnote w:type="continuationSeparator" w:id="0">
    <w:p w:rsidR="009F100A" w:rsidRDefault="009F100A" w:rsidP="00225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100A" w:rsidRDefault="009F100A" w:rsidP="0022563C">
      <w:pPr>
        <w:spacing w:after="0" w:line="240" w:lineRule="auto"/>
      </w:pPr>
      <w:r>
        <w:separator/>
      </w:r>
    </w:p>
  </w:footnote>
  <w:footnote w:type="continuationSeparator" w:id="0">
    <w:p w:rsidR="009F100A" w:rsidRDefault="009F100A" w:rsidP="002256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63C" w:rsidRPr="0022563C" w:rsidRDefault="0022563C">
    <w:pPr>
      <w:pStyle w:val="Header"/>
      <w:jc w:val="right"/>
      <w:rPr>
        <w:rFonts w:ascii="Times New Roman" w:hAnsi="Times New Roman" w:cs="Times New Roman"/>
        <w:sz w:val="24"/>
      </w:rPr>
    </w:pPr>
    <w:r w:rsidRPr="0022563C">
      <w:rPr>
        <w:rFonts w:ascii="Times New Roman" w:hAnsi="Times New Roman" w:cs="Times New Roman"/>
        <w:sz w:val="24"/>
      </w:rPr>
      <w:t>ELEMENTS OF A CONTI</w:t>
    </w:r>
    <w:r>
      <w:rPr>
        <w:rFonts w:ascii="Times New Roman" w:hAnsi="Times New Roman" w:cs="Times New Roman"/>
        <w:sz w:val="24"/>
      </w:rPr>
      <w:t>N</w:t>
    </w:r>
    <w:r w:rsidRPr="0022563C">
      <w:rPr>
        <w:rFonts w:ascii="Times New Roman" w:hAnsi="Times New Roman" w:cs="Times New Roman"/>
        <w:sz w:val="24"/>
      </w:rPr>
      <w:t>GENCY PLAN</w:t>
    </w:r>
    <w:r w:rsidRPr="0022563C">
      <w:rPr>
        <w:rFonts w:ascii="Times New Roman" w:hAnsi="Times New Roman" w:cs="Times New Roman"/>
        <w:sz w:val="24"/>
      </w:rPr>
      <w:tab/>
    </w:r>
    <w:r w:rsidRPr="0022563C">
      <w:rPr>
        <w:rFonts w:ascii="Times New Roman" w:hAnsi="Times New Roman" w:cs="Times New Roman"/>
        <w:sz w:val="24"/>
      </w:rPr>
      <w:tab/>
    </w:r>
    <w:sdt>
      <w:sdtPr>
        <w:rPr>
          <w:rFonts w:ascii="Times New Roman" w:hAnsi="Times New Roman" w:cs="Times New Roman"/>
          <w:sz w:val="24"/>
        </w:rPr>
        <w:id w:val="215001349"/>
        <w:docPartObj>
          <w:docPartGallery w:val="Page Numbers (Top of Page)"/>
          <w:docPartUnique/>
        </w:docPartObj>
      </w:sdtPr>
      <w:sdtEndPr/>
      <w:sdtContent>
        <w:r w:rsidRPr="0022563C">
          <w:rPr>
            <w:rFonts w:ascii="Times New Roman" w:hAnsi="Times New Roman" w:cs="Times New Roman"/>
            <w:sz w:val="24"/>
          </w:rPr>
          <w:fldChar w:fldCharType="begin"/>
        </w:r>
        <w:r w:rsidRPr="0022563C">
          <w:rPr>
            <w:rFonts w:ascii="Times New Roman" w:hAnsi="Times New Roman" w:cs="Times New Roman"/>
            <w:sz w:val="24"/>
          </w:rPr>
          <w:instrText xml:space="preserve"> PAGE   \* MERGEFORMAT </w:instrText>
        </w:r>
        <w:r w:rsidRPr="0022563C">
          <w:rPr>
            <w:rFonts w:ascii="Times New Roman" w:hAnsi="Times New Roman" w:cs="Times New Roman"/>
            <w:sz w:val="24"/>
          </w:rPr>
          <w:fldChar w:fldCharType="separate"/>
        </w:r>
        <w:r w:rsidR="00CB12FC">
          <w:rPr>
            <w:rFonts w:ascii="Times New Roman" w:hAnsi="Times New Roman" w:cs="Times New Roman"/>
            <w:noProof/>
            <w:sz w:val="24"/>
          </w:rPr>
          <w:t>5</w:t>
        </w:r>
        <w:r w:rsidRPr="0022563C">
          <w:rPr>
            <w:rFonts w:ascii="Times New Roman" w:hAnsi="Times New Roman" w:cs="Times New Roman"/>
            <w:sz w:val="24"/>
          </w:rPr>
          <w:fldChar w:fldCharType="end"/>
        </w:r>
      </w:sdtContent>
    </w:sdt>
  </w:p>
  <w:p w:rsidR="0022563C" w:rsidRPr="0022563C" w:rsidRDefault="0022563C">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63C" w:rsidRPr="0022563C" w:rsidRDefault="0022563C">
    <w:pPr>
      <w:pStyle w:val="Header"/>
      <w:jc w:val="right"/>
      <w:rPr>
        <w:rFonts w:ascii="Times New Roman" w:hAnsi="Times New Roman" w:cs="Times New Roman"/>
        <w:sz w:val="24"/>
      </w:rPr>
    </w:pPr>
    <w:r w:rsidRPr="0022563C">
      <w:rPr>
        <w:rFonts w:ascii="Times New Roman" w:hAnsi="Times New Roman" w:cs="Times New Roman"/>
        <w:sz w:val="24"/>
      </w:rPr>
      <w:t>R</w:t>
    </w:r>
    <w:r w:rsidR="003C7405">
      <w:rPr>
        <w:rFonts w:ascii="Times New Roman" w:hAnsi="Times New Roman" w:cs="Times New Roman"/>
        <w:sz w:val="24"/>
      </w:rPr>
      <w:t>unning h</w:t>
    </w:r>
    <w:r w:rsidRPr="0022563C">
      <w:rPr>
        <w:rFonts w:ascii="Times New Roman" w:hAnsi="Times New Roman" w:cs="Times New Roman"/>
        <w:sz w:val="24"/>
      </w:rPr>
      <w:t>ead: ELEMENTS OF A CONTI</w:t>
    </w:r>
    <w:r>
      <w:rPr>
        <w:rFonts w:ascii="Times New Roman" w:hAnsi="Times New Roman" w:cs="Times New Roman"/>
        <w:sz w:val="24"/>
      </w:rPr>
      <w:t>N</w:t>
    </w:r>
    <w:r w:rsidRPr="0022563C">
      <w:rPr>
        <w:rFonts w:ascii="Times New Roman" w:hAnsi="Times New Roman" w:cs="Times New Roman"/>
        <w:sz w:val="24"/>
      </w:rPr>
      <w:t xml:space="preserve">GENCY PLAN </w:t>
    </w:r>
    <w:r w:rsidRPr="0022563C">
      <w:rPr>
        <w:rFonts w:ascii="Times New Roman" w:hAnsi="Times New Roman" w:cs="Times New Roman"/>
        <w:sz w:val="24"/>
      </w:rPr>
      <w:tab/>
    </w:r>
    <w:sdt>
      <w:sdtPr>
        <w:rPr>
          <w:rFonts w:ascii="Times New Roman" w:hAnsi="Times New Roman" w:cs="Times New Roman"/>
          <w:sz w:val="24"/>
        </w:rPr>
        <w:id w:val="215001414"/>
        <w:docPartObj>
          <w:docPartGallery w:val="Page Numbers (Top of Page)"/>
          <w:docPartUnique/>
        </w:docPartObj>
      </w:sdtPr>
      <w:sdtEndPr/>
      <w:sdtContent>
        <w:r w:rsidRPr="0022563C">
          <w:rPr>
            <w:rFonts w:ascii="Times New Roman" w:hAnsi="Times New Roman" w:cs="Times New Roman"/>
            <w:sz w:val="24"/>
          </w:rPr>
          <w:fldChar w:fldCharType="begin"/>
        </w:r>
        <w:r w:rsidRPr="0022563C">
          <w:rPr>
            <w:rFonts w:ascii="Times New Roman" w:hAnsi="Times New Roman" w:cs="Times New Roman"/>
            <w:sz w:val="24"/>
          </w:rPr>
          <w:instrText xml:space="preserve"> PAGE   \* MERGEFORMAT </w:instrText>
        </w:r>
        <w:r w:rsidRPr="0022563C">
          <w:rPr>
            <w:rFonts w:ascii="Times New Roman" w:hAnsi="Times New Roman" w:cs="Times New Roman"/>
            <w:sz w:val="24"/>
          </w:rPr>
          <w:fldChar w:fldCharType="separate"/>
        </w:r>
        <w:r w:rsidR="009F100A">
          <w:rPr>
            <w:rFonts w:ascii="Times New Roman" w:hAnsi="Times New Roman" w:cs="Times New Roman"/>
            <w:noProof/>
            <w:sz w:val="24"/>
          </w:rPr>
          <w:t>1</w:t>
        </w:r>
        <w:r w:rsidRPr="0022563C">
          <w:rPr>
            <w:rFonts w:ascii="Times New Roman" w:hAnsi="Times New Roman" w:cs="Times New Roman"/>
            <w:sz w:val="24"/>
          </w:rPr>
          <w:fldChar w:fldCharType="end"/>
        </w:r>
      </w:sdtContent>
    </w:sdt>
  </w:p>
  <w:p w:rsidR="0022563C" w:rsidRPr="0022563C" w:rsidRDefault="0022563C">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EE3"/>
    <w:rsid w:val="000C6BC4"/>
    <w:rsid w:val="00134DA1"/>
    <w:rsid w:val="001D11F6"/>
    <w:rsid w:val="002125D1"/>
    <w:rsid w:val="0022466D"/>
    <w:rsid w:val="0022563C"/>
    <w:rsid w:val="0038605A"/>
    <w:rsid w:val="003C7405"/>
    <w:rsid w:val="00416BB8"/>
    <w:rsid w:val="009F100A"/>
    <w:rsid w:val="00AC251F"/>
    <w:rsid w:val="00CB12FC"/>
    <w:rsid w:val="00DA5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549BBA-808B-4B41-80A5-941A28F90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563C"/>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56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563C"/>
    <w:rPr>
      <w:rFonts w:ascii="Tahoma" w:hAnsi="Tahoma" w:cs="Tahoma"/>
      <w:sz w:val="16"/>
      <w:szCs w:val="16"/>
    </w:rPr>
  </w:style>
  <w:style w:type="character" w:customStyle="1" w:styleId="Heading1Char">
    <w:name w:val="Heading 1 Char"/>
    <w:basedOn w:val="DefaultParagraphFont"/>
    <w:link w:val="Heading1"/>
    <w:uiPriority w:val="9"/>
    <w:rsid w:val="0022563C"/>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22563C"/>
  </w:style>
  <w:style w:type="paragraph" w:styleId="Header">
    <w:name w:val="header"/>
    <w:basedOn w:val="Normal"/>
    <w:link w:val="HeaderChar"/>
    <w:uiPriority w:val="99"/>
    <w:unhideWhenUsed/>
    <w:rsid w:val="002256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63C"/>
  </w:style>
  <w:style w:type="paragraph" w:styleId="Footer">
    <w:name w:val="footer"/>
    <w:basedOn w:val="Normal"/>
    <w:link w:val="FooterChar"/>
    <w:uiPriority w:val="99"/>
    <w:unhideWhenUsed/>
    <w:rsid w:val="002256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56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Nat10</b:Tag>
    <b:SourceType>JournalArticle</b:SourceType>
    <b:Guid>{77CC8CFE-E8E9-40F8-B3C0-970D7E31B481}</b:Guid>
    <b:Author>
      <b:Author>
        <b:Corporate>National Fire Protection Association</b:Corporate>
      </b:Author>
    </b:Author>
    <b:Title>NFPA 1600: Standard on disaster/emergency management and business continuity programs.</b:Title>
    <b:JournalName>NFPA 1600: Standard on Disaster/Emergency Management and Business Continuity Programs.</b:JournalName>
    <b:Year>2010</b:Year>
    <b:Publisher>NPFA</b:Publisher>
    <b:RefOrder>1</b:RefOrder>
  </b:Source>
  <b:Source>
    <b:Tag>Inf06</b:Tag>
    <b:SourceType>Book</b:SourceType>
    <b:Guid>{6E543838-D71B-48DF-96E7-88D4C3C2534B}</b:Guid>
    <b:Author>
      <b:Author>
        <b:Corporate>Infrastructure Security Partnership (Organization)</b:Corporate>
      </b:Author>
    </b:Author>
    <b:Title>Regional disaster resilience: A guide for developing an action plan. </b:Title>
    <b:Year>2006</b:Year>
    <b:Publisher>DIANE Publishing Inc.</b:Publisher>
    <b:RefOrder>2</b:RefOrder>
  </b:Source>
</b:Sources>
</file>

<file path=customXml/itemProps1.xml><?xml version="1.0" encoding="utf-8"?>
<ds:datastoreItem xmlns:ds="http://schemas.openxmlformats.org/officeDocument/2006/customXml" ds:itemID="{376244CC-3C69-416B-B69B-D210A7AF0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717</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hp15</cp:lastModifiedBy>
  <cp:revision>2</cp:revision>
  <dcterms:created xsi:type="dcterms:W3CDTF">2019-07-02T18:11:00Z</dcterms:created>
  <dcterms:modified xsi:type="dcterms:W3CDTF">2019-07-02T18:11:00Z</dcterms:modified>
</cp:coreProperties>
</file>